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80.png" ContentType="image/png"/>
  <Override PartName="/word/media/rId81.png" ContentType="image/png"/>
  <Override PartName="/word/media/rId82.png" ContentType="image/png"/>
  <Override PartName="/word/media/rId83.png" ContentType="image/png"/>
  <Override PartName="/word/media/rId48.png" ContentType="image/png"/>
  <Override PartName="/word/media/rId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299</w:t>
      </w:r>
      <w:r>
        <w:t xml:space="preserve"> </w:t>
      </w:r>
      <w:r>
        <w:rPr>
          <w:i/>
        </w:rPr>
        <w:t xml:space="preserve">Paper:</w:t>
      </w:r>
      <w:r>
        <w:t xml:space="preserve"> </w:t>
      </w:r>
      <w:r>
        <w:t xml:space="preserve">3669</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complete case analysis should not be used for this data source - or other similar surveillance data. Our findings should be used to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numPr>
          <w:numId w:val="1001"/>
          <w:ilvl w:val="0"/>
        </w:numPr>
      </w:pPr>
      <w:r>
        <w:t xml:space="preserve">Missing data may induce biases into analyses conducted using surveillance data and needs to be properly accounted for.</w:t>
      </w:r>
    </w:p>
    <w:p>
      <w:pPr>
        <w:numPr>
          <w:numId w:val="1001"/>
          <w:ilvl w:val="0"/>
        </w:numPr>
      </w:pPr>
      <w:r>
        <w:t xml:space="preserve">Common practice is to use complete case analysis or multiple imputation. We show that common demographic variables are often associated with key outcomes and hence may induce bias if complete case analysis is used.</w:t>
      </w:r>
    </w:p>
    <w:p>
      <w:pPr>
        <w:numPr>
          <w:numId w:val="1001"/>
          <w:ilvl w:val="0"/>
        </w:numPr>
      </w:pPr>
      <w:r>
        <w:t xml:space="preserve">Our findings also indicate that variables outside the analysis model should be considered when defining the multiple imputation model - this may require domain specific expertise.</w:t>
      </w:r>
    </w:p>
    <w:p>
      <w:pPr>
        <w:numPr>
          <w:numId w:val="1001"/>
          <w:ilvl w:val="0"/>
        </w:numPr>
      </w:pPr>
      <w:r>
        <w:t xml:space="preserve">Finally we found that date variables were potentially at risk of bias due to the presence of a higher than expected proportion of cases in January, and on the 1st and 14th day of each month for multiple variables.</w:t>
      </w:r>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w:t>
      </w:r>
      <w:r>
        <w:t xml:space="preserve">[1,2]</w:t>
      </w:r>
      <w:r>
        <w:t xml:space="preserve">. Common practice is to include all variables included in the analyses in the imputation model and best practise is to also include additional variables that may be related to missing data</w:t>
      </w:r>
      <w:r>
        <w:t xml:space="preserve">[3]</w:t>
      </w:r>
      <w:r>
        <w:t xml:space="preserve">. Several studies have used imputation for analyses using the ETS and found that results were impacted compared to using complete case analysis or imputation using only analysis variables</w:t>
      </w:r>
      <w:r>
        <w:t xml:space="preserve">[4,5]</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[6]</w:t>
      </w:r>
      <w:r>
        <w:t xml:space="preserve">. Data collection began in 2000 and was expanded, with additional variables, with the launch of a web-based system in 2008</w:t>
      </w:r>
      <w:r>
        <w:t xml:space="preserve">[7]</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[6]</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[8]</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2"/>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2"/>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2"/>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2"/>
          <w:ilvl w:val="0"/>
        </w:numPr>
      </w:pPr>
      <w:r>
        <w:t xml:space="preserve">Fit a logistic regression model with the temporary data status variable as the outcome, adjusting for the hypothesised drivers of missingness.</w:t>
      </w:r>
    </w:p>
    <w:p>
      <w:pPr>
        <w:numPr>
          <w:numId w:val="1002"/>
          <w:ilvl w:val="0"/>
        </w:numPr>
      </w:pPr>
      <w:r>
        <w:t xml:space="preserve">Exponentiate the returned coefficients, and confidence intervals so that they represent Odds Ratios (ORs).</w:t>
      </w:r>
    </w:p>
    <w:p>
      <w:pPr>
        <w:numPr>
          <w:numId w:val="1002"/>
          <w:ilvl w:val="0"/>
        </w:numPr>
      </w:pPr>
      <w:r>
        <w:t xml:space="preserve">Refit the model, dropping each variable in turn and then comparing the updated model with the full model using a likelihood ratio test.</w:t>
      </w:r>
    </w:p>
    <w:p>
      <w:pPr>
        <w:numPr>
          <w:numId w:val="1002"/>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[9]</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[6]</w:t>
      </w:r>
      <w:r>
        <w:t xml:space="preserve">. Socio-economic status (as national quintiles) was not collected until 2010 but after this point is highly complete</w:t>
      </w:r>
      <w:r>
        <w:t xml:space="preserve">[6]</w:t>
      </w:r>
      <w:r>
        <w:t xml:space="preserve">. Comparing before and after the launch of the web-based ETS in Table 1 (Supplementary Figure S1) we see completeness changes over time</w:t>
      </w:r>
      <w:r>
        <w:t xml:space="preserve">[6]</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[10]</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w:t>
      </w:r>
      <w:r>
        <w:t xml:space="preserve">[11]</w:t>
      </w:r>
      <w:r>
        <w:t xml:space="preserve">. Also as demonstrated here, by exploring variable reporting across times additional potential sources of bias can be identified and then potentially mitigated. This study does not detail imputation best practises see</w:t>
      </w:r>
      <w:r>
        <w:t xml:space="preserve"> </w:t>
      </w:r>
      <w:r>
        <w:t xml:space="preserve">[1,11]</w:t>
      </w:r>
      <w:r>
        <w:t xml:space="preserve"> </w:t>
      </w:r>
      <w:r>
        <w:t xml:space="preserve">for further information and</w:t>
      </w:r>
      <w:r>
        <w:t xml:space="preserve"> </w:t>
      </w:r>
      <w:r>
        <w:t xml:space="preserve">[4,5]</w:t>
      </w:r>
      <w:r>
        <w:t xml:space="preserve"> </w:t>
      </w:r>
      <w:r>
        <w:t xml:space="preserve">for case studies in the ETS. Additionally, multiple variables may suffer from misclassification bias, including BCG status which can be assessed via vaccination record, the presence of a scar, or case recall: this may lead to spurious associations</w:t>
      </w:r>
      <w:r>
        <w:t xml:space="preserve">[12]</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[2,11]</w:t>
      </w:r>
      <w:r>
        <w:t xml:space="preserve">. This means that complete case analysis should not be used on its own for this data source - or other similar surveillance data.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imputation to adjust for biases due to missing data - but to our knowledge none have explicitly focused on the impact that biases due to missing data may have had</w:t>
      </w:r>
      <w:r>
        <w:t xml:space="preserve">[4,5]</w:t>
      </w:r>
      <w:r>
        <w:t xml:space="preserve">. A case study focussing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p>
    <w:p>
      <w:pPr>
        <w:pStyle w:val="BodyText"/>
      </w:pP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69"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4" w:name="ref-JSSv045i03"/>
    <w:p>
      <w:pPr>
        <w:pStyle w:val="BodyText"/>
      </w:pPr>
      <w:r>
        <w:t xml:space="preserve">2 Buuren S van, Groothuis-Oudshoorn K. Mice: Multivariate imputation by chained equations in r.</w:t>
      </w:r>
      <w:r>
        <w:t xml:space="preserve"> </w:t>
      </w:r>
      <w:r>
        <w:rPr>
          <w:i/>
        </w:rPr>
        <w:t xml:space="preserve">Journal of Statistical Software, Articles</w:t>
      </w:r>
      <w:r>
        <w:t xml:space="preserve"> </w:t>
      </w:r>
      <w:r>
        <w:t xml:space="preserve">2011;</w:t>
      </w:r>
      <w:r>
        <w:rPr>
          <w:b/>
        </w:rPr>
        <w:t xml:space="preserve">45</w:t>
      </w:r>
      <w:r>
        <w:t xml:space="preserve">:1–67. doi:</w:t>
      </w:r>
      <w:hyperlink r:id="rId53">
        <w:r>
          <w:rPr>
            <w:rStyle w:val="Hyperlink"/>
          </w:rPr>
          <w:t xml:space="preserve">10.18637/jss.v045.i03</w:t>
        </w:r>
      </w:hyperlink>
    </w:p>
    <w:bookmarkEnd w:id="54"/>
    <w:bookmarkStart w:id="56" w:name="ref-Rezvan2015"/>
    <w:p>
      <w:pPr>
        <w:pStyle w:val="BodyText"/>
      </w:pPr>
      <w:r>
        <w:t xml:space="preserve">3 Rezvan PH, Lee KJ, Simpson JA. The rise of multiple imputation : a review of the reporting and implementation of the method in medical research. 2015;1–14. doi:</w:t>
      </w:r>
      <w:hyperlink r:id="rId55">
        <w:r>
          <w:rPr>
            <w:rStyle w:val="Hyperlink"/>
          </w:rPr>
          <w:t xml:space="preserve">10.1186/s12874-015-0022-1</w:t>
        </w:r>
      </w:hyperlink>
    </w:p>
    <w:bookmarkEnd w:id="56"/>
    <w:bookmarkStart w:id="58" w:name="ref-Abbott:2019:vaccine"/>
    <w:p>
      <w:pPr>
        <w:pStyle w:val="BodyText"/>
      </w:pPr>
      <w:r>
        <w:t xml:space="preserve">4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7">
        <w:r>
          <w:rPr>
            <w:rStyle w:val="Hyperlink"/>
          </w:rPr>
          <w:t xml:space="preserve">https://doi.org/10.1016/j.vaccine.2019.06.056</w:t>
        </w:r>
      </w:hyperlink>
    </w:p>
    <w:bookmarkEnd w:id="58"/>
    <w:bookmarkStart w:id="60" w:name="ref-Abbott:2019:preprint:direct"/>
    <w:p>
      <w:pPr>
        <w:pStyle w:val="BodyText"/>
      </w:pPr>
      <w:r>
        <w:t xml:space="preserve">5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59">
        <w:r>
          <w:rPr>
            <w:rStyle w:val="Hyperlink"/>
          </w:rPr>
          <w:t xml:space="preserve">10.1101/567511</w:t>
        </w:r>
      </w:hyperlink>
    </w:p>
    <w:bookmarkEnd w:id="60"/>
    <w:bookmarkStart w:id="61" w:name="ref-PHE2017"/>
    <w:p>
      <w:pPr>
        <w:pStyle w:val="BodyText"/>
      </w:pPr>
      <w:r>
        <w:t xml:space="preserve">6 Public Health England. Tuberculosis in England 2017 report ( presenting data to end of 2016 ) About Public Health England. 2017.</w:t>
      </w:r>
      <w:r>
        <w:t xml:space="preserve"> </w:t>
      </w:r>
    </w:p>
    <w:bookmarkEnd w:id="61"/>
    <w:bookmarkStart w:id="62" w:name="ref-Kriujshaar2007"/>
    <w:p>
      <w:pPr>
        <w:pStyle w:val="BodyText"/>
      </w:pPr>
      <w:r>
        <w:t xml:space="preserve">7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62"/>
    <w:bookmarkStart w:id="63" w:name="ref-Pillaye2003"/>
    <w:p>
      <w:pPr>
        <w:pStyle w:val="BodyText"/>
      </w:pPr>
      <w:r>
        <w:t xml:space="preserve">8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3"/>
    <w:bookmarkStart w:id="64" w:name="ref-Sterne2001"/>
    <w:p>
      <w:pPr>
        <w:pStyle w:val="BodyText"/>
      </w:pPr>
      <w:r>
        <w:t xml:space="preserve">9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4"/>
    <w:bookmarkStart w:id="65" w:name="ref-Benchimol2016a"/>
    <w:p>
      <w:pPr>
        <w:pStyle w:val="BodyText"/>
      </w:pPr>
      <w:r>
        <w:t xml:space="preserve">10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5"/>
    <w:bookmarkStart w:id="67" w:name="ref-Azur2011"/>
    <w:p>
      <w:pPr>
        <w:pStyle w:val="BodyText"/>
      </w:pPr>
      <w:r>
        <w:t xml:space="preserve">11 Azur MJ, Stuart EA, Frangakis C</w:t>
      </w:r>
      <w:r>
        <w:t xml:space="preserve"> </w:t>
      </w:r>
      <w:r>
        <w:rPr>
          <w:i/>
        </w:rPr>
        <w:t xml:space="preserve">et al.</w:t>
      </w:r>
      <w:r>
        <w:t xml:space="preserve"> </w:t>
      </w:r>
      <w:r>
        <w:t xml:space="preserve">Multiple imputation by chained equations: what is it and how does it work?</w:t>
      </w:r>
      <w:r>
        <w:t xml:space="preserve"> </w:t>
      </w:r>
      <w:r>
        <w:rPr>
          <w:i/>
        </w:rPr>
        <w:t xml:space="preserve">Int J Methods Psychiatr Res</w:t>
      </w:r>
      <w:r>
        <w:t xml:space="preserve"> </w:t>
      </w:r>
      <w:r>
        <w:t xml:space="preserve">2011;</w:t>
      </w:r>
      <w:r>
        <w:rPr>
          <w:b/>
        </w:rPr>
        <w:t xml:space="preserve">20</w:t>
      </w:r>
      <w:r>
        <w:t xml:space="preserve">:40–9. doi:</w:t>
      </w:r>
      <w:hyperlink r:id="rId66">
        <w:r>
          <w:rPr>
            <w:rStyle w:val="Hyperlink"/>
          </w:rPr>
          <w:t xml:space="preserve">10.1002/mpr.329</w:t>
        </w:r>
      </w:hyperlink>
    </w:p>
    <w:bookmarkEnd w:id="67"/>
    <w:bookmarkStart w:id="68" w:name="ref-Fewell2007"/>
    <w:p>
      <w:pPr>
        <w:pStyle w:val="BodyText"/>
      </w:pPr>
      <w:r>
        <w:t xml:space="preserve">12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8"/>
    <w:bookmarkEnd w:id="69"/>
    <w:p>
      <w:pPr>
        <w:pStyle w:val="Heading1"/>
      </w:pPr>
      <w:bookmarkStart w:id="70" w:name="supplementary-information-exploring-missing-data-in-the-enhanced-tuberculosis-surveillance-system"/>
      <w:r>
        <w:t xml:space="preserve">Supplementary Information: Exploring Missing Data in the Enhanced Tuberculosis Surveillance System</w:t>
      </w:r>
      <w:bookmarkEnd w:id="70"/>
    </w:p>
    <w:p>
      <w:pPr>
        <w:pStyle w:val="FirstParagraph"/>
      </w:pPr>
      <w:r>
        <w:t xml:space="preserve">Sam Abbott, Hannah Christensen, Ellen Brooks-Pollock</w:t>
      </w:r>
    </w:p>
    <w:p>
      <w:pPr>
        <w:pStyle w:val="Heading2"/>
      </w:pPr>
      <w:bookmarkStart w:id="71" w:name="data-completeness-2"/>
      <w:r>
        <w:t xml:space="preserve">Data completeness</w:t>
      </w:r>
      <w:bookmarkEnd w:id="71"/>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73" w:name="drivers-of-data-completeness---additional-results-tables"/>
      <w:r>
        <w:t xml:space="preserve">Drivers of data completeness - additional results tables</w:t>
      </w:r>
      <w:bookmarkEnd w:id="73"/>
    </w:p>
    <w:p>
      <w:pPr>
        <w:pStyle w:val="Heading3"/>
      </w:pPr>
      <w:bookmarkStart w:id="74" w:name="year-of-bcg-vaccination"/>
      <w:r>
        <w:t xml:space="preserve">Year of BCG vaccination</w:t>
      </w:r>
      <w:bookmarkEnd w:id="74"/>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5" w:name="date-of-diagnosis-1"/>
      <w:r>
        <w:t xml:space="preserve">Date of diagnosis</w:t>
      </w:r>
      <w:bookmarkEnd w:id="75"/>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6" w:name="date-of-starting-treatment-and-ending-treatment-1"/>
      <w:r>
        <w:t xml:space="preserve">Date of starting treatment and ending treatment</w:t>
      </w:r>
      <w:bookmarkEnd w:id="76"/>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7" w:name="date-of-death"/>
      <w:r>
        <w:t xml:space="preserve">Date of death</w:t>
      </w:r>
      <w:bookmarkEnd w:id="77"/>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8" w:name="cause-of-death"/>
      <w:r>
        <w:t xml:space="preserve">Cause of death</w:t>
      </w:r>
      <w:bookmarkEnd w:id="78"/>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9" w:name="assessing-temporal-biases-in-reporting-2"/>
      <w:r>
        <w:t xml:space="preserve">Assessing temporal biases in reporting</w:t>
      </w:r>
      <w:bookmarkEnd w:id="79"/>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48" Target="media/rId48.png" /><Relationship Type="http://schemas.openxmlformats.org/officeDocument/2006/relationships/image" Id="rId84" Target="media/rId84.png" /><Relationship Type="http://schemas.openxmlformats.org/officeDocument/2006/relationships/hyperlink" Id="rId66"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66"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2019-10-24T10:54:32Z</dcterms:created>
  <dcterms:modified xsi:type="dcterms:W3CDTF">2019-10-24T10:54:32Z</dcterms:modified>
</cp:coreProperties>
</file>